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Informacja dotycząca osiągniętych przez Gminę Jasienica wymaganych poziomów recyklingu, przygotowania do ponownego użycia i odzysku innymi metodami frakcji papieru, metali, tworzyw sztucznych i szkła oraz innych niż niebezpieczne odpadów budowlanych i rozbiórkowych a także ograniczenia masy odpadów komunalnych ulegających biodegradacji przekazywanych do składowania w 2019 roku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Osiągnięty poziom recyklingu, przygotowania do ponownego użycia następujących frakcji odpadów komunalnych: papieru, metali, tworzyw sztucznych i szkła – 45,79%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Osiągnięty poziom recyklingu, przygotowania do ponownego użycia i odzysku innymi metodami innych niż niebezpieczne odpadów budowlanych i rozbiórkowych – 85,77%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Osiągnięty poziom ograniczenia masy odpadów komunalnych ulegających biodegradacji przekazywanych do składowania – 37,12%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1</Pages>
  <Words>95</Words>
  <Characters>723</Characters>
  <CharactersWithSpaces>817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2021-01-11T13:37:00Z</dcterms:created>
  <dc:creator>Anna Stencel</dc:creator>
  <dc:description/>
  <dc:language>pl-PL</dc:language>
  <cp:lastModifiedBy>Anna Stencel</cp:lastModifiedBy>
  <dcterms:modified xsi:type="dcterms:W3CDTF">2021-01-11T13:37:00Z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